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BA180"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339A9B30" w14:textId="77777777" w:rsidR="00856BFB" w:rsidRDefault="00856BFB" w:rsidP="00A02AC7">
      <w:pPr>
        <w:spacing w:line="480" w:lineRule="auto"/>
        <w:rPr>
          <w:rFonts w:ascii="Times New Roman" w:hAnsi="Times New Roman" w:cs="Times New Roman"/>
          <w:color w:val="1D1D1D"/>
          <w:sz w:val="24"/>
          <w:szCs w:val="24"/>
          <w:shd w:val="clear" w:color="auto" w:fill="FFFFFF"/>
        </w:rPr>
      </w:pPr>
    </w:p>
    <w:p w14:paraId="673E1416"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2A4B510A" w14:textId="134AF3D8" w:rsidR="00A02AC7" w:rsidRDefault="00A02AC7" w:rsidP="00A02AC7">
      <w:pPr>
        <w:spacing w:line="480" w:lineRule="auto"/>
        <w:jc w:val="center"/>
        <w:rPr>
          <w:rFonts w:ascii="Times New Roman" w:hAnsi="Times New Roman" w:cs="Times New Roman"/>
          <w:color w:val="1D1D1D"/>
          <w:sz w:val="24"/>
          <w:szCs w:val="24"/>
          <w:shd w:val="clear" w:color="auto" w:fill="FFFFFF"/>
        </w:rPr>
      </w:pPr>
    </w:p>
    <w:p w14:paraId="43B2308E" w14:textId="31C82F2B" w:rsidR="00A02AC7" w:rsidRPr="00A02AC7" w:rsidRDefault="00A02AC7" w:rsidP="00A02AC7">
      <w:pPr>
        <w:spacing w:line="480" w:lineRule="auto"/>
        <w:jc w:val="center"/>
        <w:rPr>
          <w:rFonts w:ascii="Times New Roman" w:hAnsi="Times New Roman" w:cs="Times New Roman"/>
          <w:color w:val="1D1D1D"/>
          <w:sz w:val="24"/>
          <w:szCs w:val="24"/>
          <w:shd w:val="clear" w:color="auto" w:fill="FFFFFF"/>
        </w:rPr>
      </w:pPr>
      <w:r w:rsidRPr="00A02AC7">
        <w:rPr>
          <w:rFonts w:ascii="Times New Roman" w:hAnsi="Times New Roman" w:cs="Times New Roman"/>
          <w:color w:val="1D1D1D"/>
          <w:sz w:val="24"/>
          <w:szCs w:val="24"/>
          <w:shd w:val="clear" w:color="auto" w:fill="FFFFFF"/>
        </w:rPr>
        <w:t xml:space="preserve">Public Participation </w:t>
      </w:r>
      <w:r>
        <w:rPr>
          <w:rFonts w:ascii="Times New Roman" w:hAnsi="Times New Roman" w:cs="Times New Roman"/>
          <w:color w:val="1D1D1D"/>
          <w:sz w:val="24"/>
          <w:szCs w:val="24"/>
          <w:shd w:val="clear" w:color="auto" w:fill="FFFFFF"/>
        </w:rPr>
        <w:t>i</w:t>
      </w:r>
      <w:r w:rsidRPr="00A02AC7">
        <w:rPr>
          <w:rFonts w:ascii="Times New Roman" w:hAnsi="Times New Roman" w:cs="Times New Roman"/>
          <w:color w:val="1D1D1D"/>
          <w:sz w:val="24"/>
          <w:szCs w:val="24"/>
          <w:shd w:val="clear" w:color="auto" w:fill="FFFFFF"/>
        </w:rPr>
        <w:t>n Policy Making Process</w:t>
      </w:r>
    </w:p>
    <w:p w14:paraId="4B50719C" w14:textId="69277066" w:rsidR="00A02AC7" w:rsidRDefault="00A02AC7" w:rsidP="00A02AC7">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1765989D" w14:textId="41EED5EE" w:rsidR="00856BFB" w:rsidRDefault="00856BFB" w:rsidP="00A02AC7">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Instructor’s Name</w:t>
      </w:r>
    </w:p>
    <w:p w14:paraId="290FDA03" w14:textId="497D6A7D" w:rsidR="00A02AC7" w:rsidRDefault="00A02AC7" w:rsidP="00A02AC7">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Institutional Affiliation </w:t>
      </w:r>
    </w:p>
    <w:p w14:paraId="2B9268BD"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788F98BB"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24383203"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20FD952A"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0E6503E0"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758F37E4"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0D803401"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6414C786"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41582A71"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238EBD3A" w14:textId="77777777" w:rsidR="00A02AC7" w:rsidRDefault="00A02AC7" w:rsidP="00A02AC7">
      <w:pPr>
        <w:spacing w:line="480" w:lineRule="auto"/>
        <w:rPr>
          <w:rFonts w:ascii="Times New Roman" w:hAnsi="Times New Roman" w:cs="Times New Roman"/>
          <w:color w:val="1D1D1D"/>
          <w:sz w:val="24"/>
          <w:szCs w:val="24"/>
          <w:shd w:val="clear" w:color="auto" w:fill="FFFFFF"/>
        </w:rPr>
      </w:pPr>
      <w:bookmarkStart w:id="0" w:name="_GoBack"/>
      <w:bookmarkEnd w:id="0"/>
    </w:p>
    <w:p w14:paraId="6F297C38" w14:textId="19D5BE1E" w:rsidR="00A02AC7" w:rsidRDefault="00FB35A0" w:rsidP="00856BFB">
      <w:pPr>
        <w:pStyle w:val="Header"/>
        <w:jc w:val="center"/>
        <w:rPr>
          <w:rFonts w:ascii="Times New Roman" w:hAnsi="Times New Roman" w:cs="Times New Roman"/>
          <w:sz w:val="24"/>
          <w:szCs w:val="24"/>
        </w:rPr>
      </w:pPr>
      <w:r>
        <w:rPr>
          <w:rFonts w:ascii="Times New Roman" w:hAnsi="Times New Roman" w:cs="Times New Roman"/>
          <w:sz w:val="24"/>
          <w:szCs w:val="24"/>
        </w:rPr>
        <w:lastRenderedPageBreak/>
        <w:t>Public Policy</w:t>
      </w:r>
    </w:p>
    <w:p w14:paraId="62E64BA6" w14:textId="77777777" w:rsidR="00856BFB" w:rsidRPr="00856BFB" w:rsidRDefault="00856BFB" w:rsidP="00856BFB">
      <w:pPr>
        <w:pStyle w:val="Header"/>
        <w:jc w:val="center"/>
        <w:rPr>
          <w:rFonts w:ascii="Times New Roman" w:hAnsi="Times New Roman" w:cs="Times New Roman"/>
          <w:sz w:val="24"/>
          <w:szCs w:val="24"/>
        </w:rPr>
      </w:pPr>
    </w:p>
    <w:p w14:paraId="6D5392D4" w14:textId="25AFDD9F" w:rsidR="00856BFB" w:rsidRPr="00856BFB" w:rsidRDefault="00CE0A78" w:rsidP="00856BFB">
      <w:pPr>
        <w:spacing w:line="480" w:lineRule="auto"/>
        <w:rPr>
          <w:rFonts w:ascii="Times New Roman" w:hAnsi="Times New Roman" w:cs="Times New Roman"/>
          <w:b/>
          <w:color w:val="1D1D1D"/>
          <w:sz w:val="24"/>
          <w:szCs w:val="24"/>
          <w:shd w:val="clear" w:color="auto" w:fill="FFFFFF"/>
        </w:rPr>
      </w:pPr>
      <w:r w:rsidRPr="00856BFB">
        <w:rPr>
          <w:rFonts w:ascii="Times New Roman" w:hAnsi="Times New Roman" w:cs="Times New Roman"/>
          <w:b/>
          <w:color w:val="1D1D1D"/>
          <w:sz w:val="24"/>
          <w:szCs w:val="24"/>
          <w:shd w:val="clear" w:color="auto" w:fill="FFFFFF"/>
        </w:rPr>
        <w:t>Question 1</w:t>
      </w:r>
    </w:p>
    <w:p w14:paraId="488CD229" w14:textId="1F50BF2E" w:rsidR="00CE0A78" w:rsidRPr="00A02AC7" w:rsidRDefault="00CE0A78" w:rsidP="00A02AC7">
      <w:pPr>
        <w:spacing w:line="480" w:lineRule="auto"/>
        <w:ind w:firstLine="720"/>
        <w:rPr>
          <w:rFonts w:ascii="Times New Roman" w:hAnsi="Times New Roman" w:cs="Times New Roman"/>
          <w:color w:val="1D1D1D"/>
          <w:sz w:val="24"/>
          <w:szCs w:val="24"/>
          <w:shd w:val="clear" w:color="auto" w:fill="FFFFFF"/>
        </w:rPr>
      </w:pPr>
      <w:r w:rsidRPr="00A02AC7">
        <w:rPr>
          <w:rFonts w:ascii="Times New Roman" w:hAnsi="Times New Roman" w:cs="Times New Roman"/>
          <w:color w:val="1D1D1D"/>
          <w:sz w:val="24"/>
          <w:szCs w:val="24"/>
          <w:shd w:val="clear" w:color="auto" w:fill="FFFFFF"/>
        </w:rPr>
        <w:t>The effects of citizen engagement in the formulation of public policy are such a timely topic and appropriately designed. There are exuberant reasons that can motivate the citizens to take part in the formulation of policies for governance purposes. First and foremost, policies that have implications on groups in a particular society should be backed up by these groups</w:t>
      </w:r>
      <w:r w:rsidR="00354A1A">
        <w:rPr>
          <w:rFonts w:ascii="Times New Roman" w:hAnsi="Times New Roman" w:cs="Times New Roman"/>
          <w:color w:val="1D1D1D"/>
          <w:sz w:val="24"/>
          <w:szCs w:val="24"/>
          <w:shd w:val="clear" w:color="auto" w:fill="FFFFFF"/>
        </w:rPr>
        <w:t xml:space="preserve"> </w:t>
      </w:r>
      <w:r w:rsidR="00354A1A" w:rsidRPr="00A02AC7">
        <w:rPr>
          <w:rFonts w:ascii="Times New Roman" w:hAnsi="Times New Roman" w:cs="Times New Roman"/>
          <w:color w:val="1D1D1D"/>
          <w:sz w:val="24"/>
          <w:szCs w:val="24"/>
          <w:shd w:val="clear" w:color="auto" w:fill="FFFFFF"/>
        </w:rPr>
        <w:t>(Krueger</w:t>
      </w:r>
      <w:r w:rsidR="00354A1A">
        <w:rPr>
          <w:rFonts w:ascii="Times New Roman" w:hAnsi="Times New Roman" w:cs="Times New Roman"/>
          <w:color w:val="1D1D1D"/>
          <w:sz w:val="24"/>
          <w:szCs w:val="24"/>
          <w:shd w:val="clear" w:color="auto" w:fill="FFFFFF"/>
        </w:rPr>
        <w:t>,</w:t>
      </w:r>
      <w:r w:rsidR="00354A1A" w:rsidRPr="00A02AC7">
        <w:rPr>
          <w:rFonts w:ascii="Times New Roman" w:hAnsi="Times New Roman" w:cs="Times New Roman"/>
          <w:color w:val="1D1D1D"/>
          <w:sz w:val="24"/>
          <w:szCs w:val="24"/>
          <w:shd w:val="clear" w:color="auto" w:fill="FFFFFF"/>
        </w:rPr>
        <w:t xml:space="preserve"> 2018)</w:t>
      </w:r>
      <w:r w:rsidRPr="00A02AC7">
        <w:rPr>
          <w:rFonts w:ascii="Times New Roman" w:hAnsi="Times New Roman" w:cs="Times New Roman"/>
          <w:color w:val="1D1D1D"/>
          <w:sz w:val="24"/>
          <w:szCs w:val="24"/>
          <w:shd w:val="clear" w:color="auto" w:fill="FFFFFF"/>
        </w:rPr>
        <w:t>. Seeking the accompaniment of groups linked to a certain society promotes public participation in policy formulation. Citizens should not be deemed as customers to be offered products by a service delivery agency, but instead, they should be seen as perhaps principally, vigilant participants who have the democratic right to shape those policies or decisions through the application of their life situations or that of other people that are greatly implicated. It belongs to the principal of democratic rights that the public can directly or indirectly influence, co-produce and get involved in the policy-making process (Johnson</w:t>
      </w:r>
      <w:r w:rsidR="00354A1A">
        <w:rPr>
          <w:rFonts w:ascii="Times New Roman" w:hAnsi="Times New Roman" w:cs="Times New Roman"/>
          <w:color w:val="1D1D1D"/>
          <w:sz w:val="24"/>
          <w:szCs w:val="24"/>
          <w:shd w:val="clear" w:color="auto" w:fill="FFFFFF"/>
        </w:rPr>
        <w:t>,</w:t>
      </w:r>
      <w:r w:rsidRPr="00A02AC7">
        <w:rPr>
          <w:rFonts w:ascii="Times New Roman" w:hAnsi="Times New Roman" w:cs="Times New Roman"/>
          <w:color w:val="1D1D1D"/>
          <w:sz w:val="24"/>
          <w:szCs w:val="24"/>
          <w:shd w:val="clear" w:color="auto" w:fill="FFFFFF"/>
        </w:rPr>
        <w:t xml:space="preserve"> 2014).</w:t>
      </w:r>
    </w:p>
    <w:p w14:paraId="5FFC1358" w14:textId="4AFFAE94" w:rsidR="00CE0A78" w:rsidRPr="00A02AC7" w:rsidRDefault="00CE0A78" w:rsidP="00A02AC7">
      <w:pPr>
        <w:spacing w:line="480" w:lineRule="auto"/>
        <w:ind w:firstLine="720"/>
        <w:rPr>
          <w:rFonts w:ascii="Times New Roman" w:hAnsi="Times New Roman" w:cs="Times New Roman"/>
          <w:color w:val="1D1D1D"/>
          <w:sz w:val="24"/>
          <w:szCs w:val="24"/>
          <w:shd w:val="clear" w:color="auto" w:fill="FFFFFF"/>
        </w:rPr>
      </w:pPr>
      <w:r w:rsidRPr="00A02AC7">
        <w:rPr>
          <w:rFonts w:ascii="Times New Roman" w:hAnsi="Times New Roman" w:cs="Times New Roman"/>
          <w:color w:val="1D1D1D"/>
          <w:sz w:val="24"/>
          <w:szCs w:val="24"/>
          <w:shd w:val="clear" w:color="auto" w:fill="FFFFFF"/>
        </w:rPr>
        <w:t>The stability of the political system also plays a significant role in motivating citizens to take an interest in the policy-making process (Peters</w:t>
      </w:r>
      <w:r w:rsidR="00856BFB">
        <w:rPr>
          <w:rFonts w:ascii="Times New Roman" w:hAnsi="Times New Roman" w:cs="Times New Roman"/>
          <w:color w:val="1D1D1D"/>
          <w:sz w:val="24"/>
          <w:szCs w:val="24"/>
          <w:shd w:val="clear" w:color="auto" w:fill="FFFFFF"/>
        </w:rPr>
        <w:t>,</w:t>
      </w:r>
      <w:r w:rsidRPr="00A02AC7">
        <w:rPr>
          <w:rFonts w:ascii="Times New Roman" w:hAnsi="Times New Roman" w:cs="Times New Roman"/>
          <w:color w:val="1D1D1D"/>
          <w:sz w:val="24"/>
          <w:szCs w:val="24"/>
          <w:shd w:val="clear" w:color="auto" w:fill="FFFFFF"/>
        </w:rPr>
        <w:t xml:space="preserve"> 2018). Support for the political paradigm is next to the necessities subjected to it. This determines the living span of the viability of the political system. When there is no support for the political system, the result is that societal problems tend to increase. The best support for this case is public participation. Therefore, a political system where no public participation is welcomed is bound to collapse. Policies tend to gain substance and quantitative sense when they are co-formulated by the target society and policymakers</w:t>
      </w:r>
      <w:r w:rsidR="00354A1A">
        <w:rPr>
          <w:rFonts w:ascii="Times New Roman" w:hAnsi="Times New Roman" w:cs="Times New Roman"/>
          <w:color w:val="1D1D1D"/>
          <w:sz w:val="24"/>
          <w:szCs w:val="24"/>
          <w:shd w:val="clear" w:color="auto" w:fill="FFFFFF"/>
        </w:rPr>
        <w:t xml:space="preserve"> </w:t>
      </w:r>
      <w:r w:rsidR="00354A1A" w:rsidRPr="00A02AC7">
        <w:rPr>
          <w:rFonts w:ascii="Times New Roman" w:hAnsi="Times New Roman" w:cs="Times New Roman"/>
          <w:color w:val="1D1D1D"/>
          <w:sz w:val="24"/>
          <w:szCs w:val="24"/>
          <w:shd w:val="clear" w:color="auto" w:fill="FFFFFF"/>
        </w:rPr>
        <w:t>(Bovaird et al., 2015)</w:t>
      </w:r>
      <w:r w:rsidRPr="00A02AC7">
        <w:rPr>
          <w:rFonts w:ascii="Times New Roman" w:hAnsi="Times New Roman" w:cs="Times New Roman"/>
          <w:color w:val="1D1D1D"/>
          <w:sz w:val="24"/>
          <w:szCs w:val="24"/>
          <w:shd w:val="clear" w:color="auto" w:fill="FFFFFF"/>
        </w:rPr>
        <w:t xml:space="preserve">. This promotes transparency of the decision-making process, and society can realize accountability and controllability. Therefore, public participation is a significant form of checks and balances. </w:t>
      </w:r>
    </w:p>
    <w:p w14:paraId="28DA876B" w14:textId="77777777" w:rsidR="00856BFB" w:rsidRPr="00856BFB" w:rsidRDefault="00856BFB" w:rsidP="00856BFB">
      <w:pPr>
        <w:spacing w:line="480" w:lineRule="auto"/>
        <w:rPr>
          <w:rFonts w:ascii="Times New Roman" w:hAnsi="Times New Roman" w:cs="Times New Roman"/>
          <w:b/>
          <w:color w:val="1D1D1D"/>
          <w:sz w:val="24"/>
          <w:szCs w:val="24"/>
          <w:shd w:val="clear" w:color="auto" w:fill="FFFFFF"/>
        </w:rPr>
      </w:pPr>
      <w:r w:rsidRPr="00856BFB">
        <w:rPr>
          <w:rFonts w:ascii="Times New Roman" w:hAnsi="Times New Roman" w:cs="Times New Roman"/>
          <w:b/>
          <w:color w:val="1D1D1D"/>
          <w:sz w:val="24"/>
          <w:szCs w:val="24"/>
          <w:shd w:val="clear" w:color="auto" w:fill="FFFFFF"/>
        </w:rPr>
        <w:lastRenderedPageBreak/>
        <w:t>Respond 1</w:t>
      </w:r>
    </w:p>
    <w:p w14:paraId="647F04BD" w14:textId="685FF2FC" w:rsidR="00CE0A78" w:rsidRDefault="00CE0A78" w:rsidP="00A02AC7">
      <w:pPr>
        <w:spacing w:line="480" w:lineRule="auto"/>
        <w:ind w:firstLine="720"/>
        <w:rPr>
          <w:rFonts w:ascii="Times New Roman" w:hAnsi="Times New Roman" w:cs="Times New Roman"/>
          <w:color w:val="1D1D1D"/>
          <w:sz w:val="24"/>
          <w:szCs w:val="24"/>
          <w:shd w:val="clear" w:color="auto" w:fill="FFFFFF"/>
        </w:rPr>
      </w:pPr>
      <w:r w:rsidRPr="00A02AC7">
        <w:rPr>
          <w:rFonts w:ascii="Times New Roman" w:hAnsi="Times New Roman" w:cs="Times New Roman"/>
          <w:color w:val="1D1D1D"/>
          <w:sz w:val="24"/>
          <w:szCs w:val="24"/>
          <w:shd w:val="clear" w:color="auto" w:fill="FFFFFF"/>
        </w:rPr>
        <w:t xml:space="preserve">The respond provided is binding because in society today, policies have become extremely moderate. Particularly in the citizen policy-making process where costs and benefits in addition to dissemination of benefits and costs is valued in various societal groups are also great determinants. </w:t>
      </w:r>
      <w:r w:rsidR="00856BFB">
        <w:rPr>
          <w:rFonts w:ascii="Times New Roman" w:hAnsi="Times New Roman" w:cs="Times New Roman"/>
          <w:color w:val="1D1D1D"/>
          <w:sz w:val="24"/>
          <w:szCs w:val="24"/>
          <w:shd w:val="clear" w:color="auto" w:fill="FFFFFF"/>
        </w:rPr>
        <w:t xml:space="preserve">Thus, it is true that </w:t>
      </w:r>
      <w:r w:rsidRPr="00A02AC7">
        <w:rPr>
          <w:rFonts w:ascii="Times New Roman" w:hAnsi="Times New Roman" w:cs="Times New Roman"/>
          <w:color w:val="1D1D1D"/>
          <w:sz w:val="24"/>
          <w:szCs w:val="24"/>
          <w:shd w:val="clear" w:color="auto" w:fill="FFFFFF"/>
        </w:rPr>
        <w:t xml:space="preserve">involvement of public participation in policy formulation is essential in empowering the disadvantaged groups. </w:t>
      </w:r>
    </w:p>
    <w:p w14:paraId="71CD84AE" w14:textId="77777777" w:rsidR="00856BFB" w:rsidRPr="00856BFB" w:rsidRDefault="00856BFB" w:rsidP="00856BFB">
      <w:pPr>
        <w:spacing w:line="480" w:lineRule="auto"/>
        <w:rPr>
          <w:rFonts w:ascii="Times New Roman" w:hAnsi="Times New Roman" w:cs="Times New Roman"/>
          <w:b/>
          <w:color w:val="1D1D1D"/>
          <w:sz w:val="24"/>
          <w:szCs w:val="24"/>
          <w:shd w:val="clear" w:color="auto" w:fill="FFFFFF"/>
        </w:rPr>
      </w:pPr>
      <w:r w:rsidRPr="00856BFB">
        <w:rPr>
          <w:rFonts w:ascii="Times New Roman" w:hAnsi="Times New Roman" w:cs="Times New Roman"/>
          <w:b/>
          <w:color w:val="1D1D1D"/>
          <w:sz w:val="24"/>
          <w:szCs w:val="24"/>
          <w:shd w:val="clear" w:color="auto" w:fill="FFFFFF"/>
        </w:rPr>
        <w:t>Response 2</w:t>
      </w:r>
    </w:p>
    <w:p w14:paraId="44D67183" w14:textId="2EAB699D" w:rsidR="00856BFB" w:rsidRPr="00A02AC7" w:rsidRDefault="00856BFB" w:rsidP="00856BFB">
      <w:pPr>
        <w:spacing w:line="480" w:lineRule="auto"/>
        <w:ind w:firstLine="720"/>
        <w:rPr>
          <w:rFonts w:ascii="Times New Roman" w:hAnsi="Times New Roman" w:cs="Times New Roman"/>
          <w:color w:val="1D1D1D"/>
          <w:sz w:val="24"/>
          <w:szCs w:val="24"/>
          <w:shd w:val="clear" w:color="auto" w:fill="FFFFFF"/>
        </w:rPr>
      </w:pPr>
      <w:r w:rsidRPr="00A02AC7">
        <w:rPr>
          <w:rFonts w:ascii="Times New Roman" w:hAnsi="Times New Roman" w:cs="Times New Roman"/>
          <w:color w:val="1D1D1D"/>
          <w:sz w:val="24"/>
          <w:szCs w:val="24"/>
          <w:shd w:val="clear" w:color="auto" w:fill="FFFFFF"/>
        </w:rPr>
        <w:t>The citizens united, in various states have designed a three-way mechanism in responding to the implications of the policy-making process. The first one is supporting the repealing of the</w:t>
      </w:r>
      <w:r>
        <w:rPr>
          <w:rFonts w:ascii="Times New Roman" w:hAnsi="Times New Roman" w:cs="Times New Roman"/>
          <w:color w:val="1D1D1D"/>
          <w:sz w:val="24"/>
          <w:szCs w:val="24"/>
          <w:shd w:val="clear" w:color="auto" w:fill="FFFFFF"/>
        </w:rPr>
        <w:t xml:space="preserve"> citizens united. Secondly, </w:t>
      </w:r>
      <w:r w:rsidRPr="00A02AC7">
        <w:rPr>
          <w:rFonts w:ascii="Times New Roman" w:hAnsi="Times New Roman" w:cs="Times New Roman"/>
          <w:color w:val="1D1D1D"/>
          <w:sz w:val="24"/>
          <w:szCs w:val="24"/>
          <w:shd w:val="clear" w:color="auto" w:fill="FFFFFF"/>
        </w:rPr>
        <w:t xml:space="preserve">developing requirements that allow disclosure and lastly, calling for majority certification from either the board of directors or shareholders before corporations are granted the allowance to make political decisions. </w:t>
      </w:r>
      <w:r>
        <w:rPr>
          <w:rFonts w:ascii="Times New Roman" w:hAnsi="Times New Roman" w:cs="Times New Roman"/>
          <w:color w:val="1D1D1D"/>
          <w:sz w:val="24"/>
          <w:szCs w:val="24"/>
          <w:shd w:val="clear" w:color="auto" w:fill="FFFFFF"/>
        </w:rPr>
        <w:t xml:space="preserve">In my opinion, I believe that this is the best </w:t>
      </w:r>
      <w:r w:rsidRPr="00A02AC7">
        <w:rPr>
          <w:rFonts w:ascii="Times New Roman" w:hAnsi="Times New Roman" w:cs="Times New Roman"/>
          <w:color w:val="1D1D1D"/>
          <w:sz w:val="24"/>
          <w:szCs w:val="24"/>
          <w:shd w:val="clear" w:color="auto" w:fill="FFFFFF"/>
        </w:rPr>
        <w:t>mechanism in responding to the implications of the policy-making process</w:t>
      </w:r>
      <w:r>
        <w:rPr>
          <w:rFonts w:ascii="Times New Roman" w:hAnsi="Times New Roman" w:cs="Times New Roman"/>
          <w:color w:val="1D1D1D"/>
          <w:sz w:val="24"/>
          <w:szCs w:val="24"/>
          <w:shd w:val="clear" w:color="auto" w:fill="FFFFFF"/>
        </w:rPr>
        <w:t>.</w:t>
      </w:r>
    </w:p>
    <w:p w14:paraId="31875E0D" w14:textId="77777777" w:rsidR="00856BFB" w:rsidRPr="00856BFB" w:rsidRDefault="00CE0A78" w:rsidP="00856BFB">
      <w:pPr>
        <w:spacing w:after="0" w:line="480" w:lineRule="auto"/>
        <w:rPr>
          <w:rFonts w:ascii="Times New Roman" w:eastAsia="Times New Roman" w:hAnsi="Times New Roman" w:cs="Times New Roman"/>
          <w:b/>
          <w:color w:val="1D1D1D"/>
          <w:sz w:val="24"/>
          <w:szCs w:val="24"/>
          <w:shd w:val="clear" w:color="auto" w:fill="FFFFFF"/>
        </w:rPr>
      </w:pPr>
      <w:r w:rsidRPr="00856BFB">
        <w:rPr>
          <w:rFonts w:ascii="Times New Roman" w:eastAsia="Times New Roman" w:hAnsi="Times New Roman" w:cs="Times New Roman"/>
          <w:b/>
          <w:color w:val="1D1D1D"/>
          <w:sz w:val="24"/>
          <w:szCs w:val="24"/>
          <w:shd w:val="clear" w:color="auto" w:fill="FFFFFF"/>
        </w:rPr>
        <w:t>Question</w:t>
      </w:r>
      <w:r w:rsidR="00856BFB" w:rsidRPr="00856BFB">
        <w:rPr>
          <w:rFonts w:ascii="Times New Roman" w:eastAsia="Times New Roman" w:hAnsi="Times New Roman" w:cs="Times New Roman"/>
          <w:b/>
          <w:color w:val="1D1D1D"/>
          <w:sz w:val="24"/>
          <w:szCs w:val="24"/>
          <w:shd w:val="clear" w:color="auto" w:fill="FFFFFF"/>
        </w:rPr>
        <w:t xml:space="preserve"> 2</w:t>
      </w:r>
    </w:p>
    <w:p w14:paraId="77E5A478" w14:textId="4CDD4405" w:rsidR="00CE0A78" w:rsidRPr="00A02AC7" w:rsidRDefault="00CE0A78" w:rsidP="00A02AC7">
      <w:pPr>
        <w:spacing w:line="480" w:lineRule="auto"/>
        <w:ind w:firstLine="720"/>
        <w:rPr>
          <w:rFonts w:ascii="Times New Roman" w:hAnsi="Times New Roman" w:cs="Times New Roman"/>
          <w:color w:val="1D1D1D"/>
          <w:sz w:val="24"/>
          <w:szCs w:val="24"/>
          <w:shd w:val="clear" w:color="auto" w:fill="FFFFFF"/>
        </w:rPr>
      </w:pPr>
      <w:r w:rsidRPr="00A02AC7">
        <w:rPr>
          <w:rFonts w:ascii="Times New Roman" w:hAnsi="Times New Roman" w:cs="Times New Roman"/>
          <w:color w:val="1D1D1D"/>
          <w:sz w:val="24"/>
          <w:szCs w:val="24"/>
          <w:shd w:val="clear" w:color="auto" w:fill="FFFFFF"/>
        </w:rPr>
        <w:t xml:space="preserve">In a democratic republic, it is unethical for accumulated wealth to influence the policy-making process. Permitting the influence of accumulated wealth to be used in in the process of formulating policies can make agencies and corporations to use unlimited amounts of money on political advocacy advertising in the electioneering period (Disterheft et al., 2015). The ruling, therefore, expounds the audacity of the agencies and corporates to have rights to disproportionately implicate the decision-making system especially during the electoral process. The effects of such ruling and unethical conducts can be so catastrophic on the governance. For instance, the agencies and corporations can decide to spend uncountable sums of money on </w:t>
      </w:r>
      <w:r w:rsidRPr="00A02AC7">
        <w:rPr>
          <w:rFonts w:ascii="Times New Roman" w:hAnsi="Times New Roman" w:cs="Times New Roman"/>
          <w:color w:val="1D1D1D"/>
          <w:sz w:val="24"/>
          <w:szCs w:val="24"/>
          <w:shd w:val="clear" w:color="auto" w:fill="FFFFFF"/>
        </w:rPr>
        <w:lastRenderedPageBreak/>
        <w:t>campaigning against the favor of the candidates who back up the policies that can foster health governance. The opposed candidate could be fostering for the empowerment of proper delivery scheme for services such as taxation on sugar-flavored drinks, access to productive facilities or air quality standards. Therefore, allowing the influence of accumulated wealth to take center stage in the decision-making process is unethical and is meant to undermine the voiceless members of the society</w:t>
      </w:r>
      <w:r w:rsidR="00354A1A">
        <w:rPr>
          <w:rFonts w:ascii="Times New Roman" w:hAnsi="Times New Roman" w:cs="Times New Roman"/>
          <w:color w:val="1D1D1D"/>
          <w:sz w:val="24"/>
          <w:szCs w:val="24"/>
          <w:shd w:val="clear" w:color="auto" w:fill="FFFFFF"/>
        </w:rPr>
        <w:t xml:space="preserve"> </w:t>
      </w:r>
      <w:r w:rsidR="00354A1A" w:rsidRPr="00A02AC7">
        <w:rPr>
          <w:rFonts w:ascii="Times New Roman" w:hAnsi="Times New Roman" w:cs="Times New Roman"/>
          <w:color w:val="1D1D1D"/>
          <w:sz w:val="24"/>
          <w:szCs w:val="24"/>
          <w:shd w:val="clear" w:color="auto" w:fill="FFFFFF"/>
        </w:rPr>
        <w:t>(Conklin et al., 2015)</w:t>
      </w:r>
      <w:r w:rsidRPr="00A02AC7">
        <w:rPr>
          <w:rFonts w:ascii="Times New Roman" w:hAnsi="Times New Roman" w:cs="Times New Roman"/>
          <w:color w:val="1D1D1D"/>
          <w:sz w:val="24"/>
          <w:szCs w:val="24"/>
          <w:shd w:val="clear" w:color="auto" w:fill="FFFFFF"/>
        </w:rPr>
        <w:t xml:space="preserve">. </w:t>
      </w:r>
    </w:p>
    <w:p w14:paraId="3FE37951" w14:textId="51030E89" w:rsidR="00CE0A78" w:rsidRPr="00A02AC7" w:rsidRDefault="00CE0A78" w:rsidP="00A02AC7">
      <w:pPr>
        <w:spacing w:line="480" w:lineRule="auto"/>
        <w:ind w:firstLine="720"/>
        <w:rPr>
          <w:rFonts w:ascii="Times New Roman" w:hAnsi="Times New Roman" w:cs="Times New Roman"/>
          <w:color w:val="1D1D1D"/>
          <w:sz w:val="24"/>
          <w:szCs w:val="24"/>
          <w:shd w:val="clear" w:color="auto" w:fill="FFFFFF"/>
        </w:rPr>
      </w:pPr>
      <w:r w:rsidRPr="00A02AC7">
        <w:rPr>
          <w:rFonts w:ascii="Times New Roman" w:hAnsi="Times New Roman" w:cs="Times New Roman"/>
          <w:color w:val="1D1D1D"/>
          <w:sz w:val="24"/>
          <w:szCs w:val="24"/>
          <w:shd w:val="clear" w:color="auto" w:fill="FFFFFF"/>
        </w:rPr>
        <w:t>The affluent members of the society always tend advocate for campaigns focus</w:t>
      </w:r>
      <w:r w:rsidR="00354A1A">
        <w:rPr>
          <w:rFonts w:ascii="Times New Roman" w:hAnsi="Times New Roman" w:cs="Times New Roman"/>
          <w:color w:val="1D1D1D"/>
          <w:sz w:val="24"/>
          <w:szCs w:val="24"/>
          <w:shd w:val="clear" w:color="auto" w:fill="FFFFFF"/>
        </w:rPr>
        <w:t>ing on</w:t>
      </w:r>
      <w:r w:rsidRPr="00A02AC7">
        <w:rPr>
          <w:rFonts w:ascii="Times New Roman" w:hAnsi="Times New Roman" w:cs="Times New Roman"/>
          <w:color w:val="1D1D1D"/>
          <w:sz w:val="24"/>
          <w:szCs w:val="24"/>
          <w:shd w:val="clear" w:color="auto" w:fill="FFFFFF"/>
        </w:rPr>
        <w:t xml:space="preserve"> promoting development of certain products, companies or indus</w:t>
      </w:r>
      <w:r w:rsidR="00354A1A">
        <w:rPr>
          <w:rFonts w:ascii="Times New Roman" w:hAnsi="Times New Roman" w:cs="Times New Roman"/>
          <w:color w:val="1D1D1D"/>
          <w:sz w:val="24"/>
          <w:szCs w:val="24"/>
          <w:shd w:val="clear" w:color="auto" w:fill="FFFFFF"/>
        </w:rPr>
        <w:t xml:space="preserve">tries and all these are done to </w:t>
      </w:r>
      <w:r w:rsidRPr="00A02AC7">
        <w:rPr>
          <w:rFonts w:ascii="Times New Roman" w:hAnsi="Times New Roman" w:cs="Times New Roman"/>
          <w:color w:val="1D1D1D"/>
          <w:sz w:val="24"/>
          <w:szCs w:val="24"/>
          <w:shd w:val="clear" w:color="auto" w:fill="FFFFFF"/>
        </w:rPr>
        <w:t xml:space="preserve">accumulate more riches and have dominance to rule the society (Vráblíková 2014). They normally want repetitive efforts that go against public welfare, and the country may fail to sustain the resources available and meet the underlying demands of the society. So public participation needs to be served on the surface of democratic permissions as a way of delivering the rights of the citizens. </w:t>
      </w:r>
    </w:p>
    <w:p w14:paraId="03F2D7A6" w14:textId="77777777" w:rsidR="00CE0A78" w:rsidRPr="00A02AC7" w:rsidRDefault="00CE0A78" w:rsidP="00A02AC7">
      <w:pPr>
        <w:spacing w:line="480" w:lineRule="auto"/>
        <w:rPr>
          <w:rFonts w:ascii="Times New Roman" w:hAnsi="Times New Roman" w:cs="Times New Roman"/>
          <w:color w:val="1D1D1D"/>
          <w:sz w:val="24"/>
          <w:szCs w:val="24"/>
          <w:shd w:val="clear" w:color="auto" w:fill="FFFFFF"/>
        </w:rPr>
      </w:pPr>
    </w:p>
    <w:p w14:paraId="686C98C2" w14:textId="77777777" w:rsidR="00A02AC7" w:rsidRDefault="00A02AC7" w:rsidP="00A02AC7">
      <w:pPr>
        <w:spacing w:line="480" w:lineRule="auto"/>
        <w:rPr>
          <w:rFonts w:ascii="Times New Roman" w:hAnsi="Times New Roman" w:cs="Times New Roman"/>
          <w:color w:val="1D1D1D"/>
          <w:sz w:val="24"/>
          <w:szCs w:val="24"/>
          <w:shd w:val="clear" w:color="auto" w:fill="FFFFFF"/>
        </w:rPr>
      </w:pPr>
    </w:p>
    <w:p w14:paraId="1BE56369" w14:textId="77777777" w:rsidR="00856BFB" w:rsidRDefault="00856BFB">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70E8F28D" w14:textId="045DC1ED" w:rsidR="007502BF" w:rsidRPr="00A02AC7" w:rsidRDefault="007502BF" w:rsidP="00856BFB">
      <w:pPr>
        <w:spacing w:line="480" w:lineRule="auto"/>
        <w:jc w:val="center"/>
        <w:rPr>
          <w:rFonts w:ascii="Times New Roman" w:hAnsi="Times New Roman" w:cs="Times New Roman"/>
          <w:color w:val="1D1D1D"/>
          <w:sz w:val="24"/>
          <w:szCs w:val="24"/>
          <w:shd w:val="clear" w:color="auto" w:fill="FFFFFF"/>
        </w:rPr>
      </w:pPr>
      <w:r w:rsidRPr="00A02AC7">
        <w:rPr>
          <w:rFonts w:ascii="Times New Roman" w:hAnsi="Times New Roman" w:cs="Times New Roman"/>
          <w:color w:val="1D1D1D"/>
          <w:sz w:val="24"/>
          <w:szCs w:val="24"/>
          <w:shd w:val="clear" w:color="auto" w:fill="FFFFFF"/>
        </w:rPr>
        <w:lastRenderedPageBreak/>
        <w:t>References</w:t>
      </w:r>
    </w:p>
    <w:p w14:paraId="51563394" w14:textId="77777777" w:rsidR="00A02AC7" w:rsidRPr="00A02AC7" w:rsidRDefault="00A02AC7" w:rsidP="00A02AC7">
      <w:pPr>
        <w:spacing w:line="480" w:lineRule="auto"/>
        <w:ind w:left="720" w:hanging="720"/>
        <w:rPr>
          <w:rFonts w:ascii="Times New Roman" w:hAnsi="Times New Roman" w:cs="Times New Roman"/>
          <w:color w:val="222222"/>
          <w:sz w:val="24"/>
          <w:szCs w:val="24"/>
          <w:shd w:val="clear" w:color="auto" w:fill="FFFFFF"/>
        </w:rPr>
      </w:pPr>
      <w:r w:rsidRPr="00A02AC7">
        <w:rPr>
          <w:rFonts w:ascii="Times New Roman" w:hAnsi="Times New Roman" w:cs="Times New Roman"/>
          <w:color w:val="222222"/>
          <w:sz w:val="24"/>
          <w:szCs w:val="24"/>
          <w:shd w:val="clear" w:color="auto" w:fill="FFFFFF"/>
        </w:rPr>
        <w:t>Bovaird, T., Van Ryzin, G. G., Loeffler, E., &amp; Parrado, S. (2015). Activating citizens to participate in collective co-production of public services. </w:t>
      </w:r>
      <w:r w:rsidRPr="00A02AC7">
        <w:rPr>
          <w:rFonts w:ascii="Times New Roman" w:hAnsi="Times New Roman" w:cs="Times New Roman"/>
          <w:i/>
          <w:iCs/>
          <w:color w:val="222222"/>
          <w:sz w:val="24"/>
          <w:szCs w:val="24"/>
          <w:shd w:val="clear" w:color="auto" w:fill="FFFFFF"/>
        </w:rPr>
        <w:t>Journal of Social Policy</w:t>
      </w:r>
      <w:r w:rsidRPr="00A02AC7">
        <w:rPr>
          <w:rFonts w:ascii="Times New Roman" w:hAnsi="Times New Roman" w:cs="Times New Roman"/>
          <w:color w:val="222222"/>
          <w:sz w:val="24"/>
          <w:szCs w:val="24"/>
          <w:shd w:val="clear" w:color="auto" w:fill="FFFFFF"/>
        </w:rPr>
        <w:t>, </w:t>
      </w:r>
      <w:r w:rsidRPr="00A02AC7">
        <w:rPr>
          <w:rFonts w:ascii="Times New Roman" w:hAnsi="Times New Roman" w:cs="Times New Roman"/>
          <w:i/>
          <w:iCs/>
          <w:color w:val="222222"/>
          <w:sz w:val="24"/>
          <w:szCs w:val="24"/>
          <w:shd w:val="clear" w:color="auto" w:fill="FFFFFF"/>
        </w:rPr>
        <w:t>44</w:t>
      </w:r>
      <w:r w:rsidRPr="00A02AC7">
        <w:rPr>
          <w:rFonts w:ascii="Times New Roman" w:hAnsi="Times New Roman" w:cs="Times New Roman"/>
          <w:color w:val="222222"/>
          <w:sz w:val="24"/>
          <w:szCs w:val="24"/>
          <w:shd w:val="clear" w:color="auto" w:fill="FFFFFF"/>
        </w:rPr>
        <w:t>(1), 1-23.</w:t>
      </w:r>
    </w:p>
    <w:p w14:paraId="730599C4" w14:textId="77777777" w:rsidR="00A02AC7" w:rsidRPr="00A02AC7" w:rsidRDefault="00A02AC7" w:rsidP="00A02AC7">
      <w:pPr>
        <w:spacing w:line="480" w:lineRule="auto"/>
        <w:ind w:left="720" w:hanging="720"/>
        <w:rPr>
          <w:rFonts w:ascii="Times New Roman" w:hAnsi="Times New Roman" w:cs="Times New Roman"/>
          <w:color w:val="222222"/>
          <w:sz w:val="24"/>
          <w:szCs w:val="24"/>
          <w:shd w:val="clear" w:color="auto" w:fill="FFFFFF"/>
        </w:rPr>
      </w:pPr>
      <w:r w:rsidRPr="00A02AC7">
        <w:rPr>
          <w:rFonts w:ascii="Times New Roman" w:hAnsi="Times New Roman" w:cs="Times New Roman"/>
          <w:color w:val="222222"/>
          <w:sz w:val="24"/>
          <w:szCs w:val="24"/>
          <w:shd w:val="clear" w:color="auto" w:fill="FFFFFF"/>
        </w:rPr>
        <w:t>Conklin, A., Morris, Z., &amp; Nolte, E. (2015). What is the evidence base for public involvement in health‐care policy?: results of a systematic scoping review. </w:t>
      </w:r>
      <w:r w:rsidRPr="00A02AC7">
        <w:rPr>
          <w:rFonts w:ascii="Times New Roman" w:hAnsi="Times New Roman" w:cs="Times New Roman"/>
          <w:i/>
          <w:iCs/>
          <w:color w:val="222222"/>
          <w:sz w:val="24"/>
          <w:szCs w:val="24"/>
          <w:shd w:val="clear" w:color="auto" w:fill="FFFFFF"/>
        </w:rPr>
        <w:t>Health Expectations</w:t>
      </w:r>
      <w:r w:rsidRPr="00A02AC7">
        <w:rPr>
          <w:rFonts w:ascii="Times New Roman" w:hAnsi="Times New Roman" w:cs="Times New Roman"/>
          <w:color w:val="222222"/>
          <w:sz w:val="24"/>
          <w:szCs w:val="24"/>
          <w:shd w:val="clear" w:color="auto" w:fill="FFFFFF"/>
        </w:rPr>
        <w:t>, </w:t>
      </w:r>
      <w:r w:rsidRPr="00A02AC7">
        <w:rPr>
          <w:rFonts w:ascii="Times New Roman" w:hAnsi="Times New Roman" w:cs="Times New Roman"/>
          <w:i/>
          <w:iCs/>
          <w:color w:val="222222"/>
          <w:sz w:val="24"/>
          <w:szCs w:val="24"/>
          <w:shd w:val="clear" w:color="auto" w:fill="FFFFFF"/>
        </w:rPr>
        <w:t>18</w:t>
      </w:r>
      <w:r w:rsidRPr="00A02AC7">
        <w:rPr>
          <w:rFonts w:ascii="Times New Roman" w:hAnsi="Times New Roman" w:cs="Times New Roman"/>
          <w:color w:val="222222"/>
          <w:sz w:val="24"/>
          <w:szCs w:val="24"/>
          <w:shd w:val="clear" w:color="auto" w:fill="FFFFFF"/>
        </w:rPr>
        <w:t>(2), 153-165.</w:t>
      </w:r>
    </w:p>
    <w:p w14:paraId="38E8EEB6" w14:textId="77777777" w:rsidR="00A02AC7" w:rsidRPr="00A02AC7" w:rsidRDefault="00A02AC7" w:rsidP="00A02AC7">
      <w:pPr>
        <w:spacing w:line="480" w:lineRule="auto"/>
        <w:ind w:left="720" w:hanging="720"/>
        <w:rPr>
          <w:rFonts w:ascii="Times New Roman" w:hAnsi="Times New Roman" w:cs="Times New Roman"/>
          <w:color w:val="222222"/>
          <w:sz w:val="24"/>
          <w:szCs w:val="24"/>
          <w:shd w:val="clear" w:color="auto" w:fill="FFFFFF"/>
        </w:rPr>
      </w:pPr>
      <w:r w:rsidRPr="00A02AC7">
        <w:rPr>
          <w:rFonts w:ascii="Times New Roman" w:hAnsi="Times New Roman" w:cs="Times New Roman"/>
          <w:color w:val="222222"/>
          <w:sz w:val="24"/>
          <w:szCs w:val="24"/>
          <w:shd w:val="clear" w:color="auto" w:fill="FFFFFF"/>
        </w:rPr>
        <w:t>Disterheft, A., Caeiro, S., Azeiteiro, U. M., &amp; Leal Filho, W. (2015). Sustainable universities–a study of critical success factors for participatory approaches. </w:t>
      </w:r>
      <w:r w:rsidRPr="00A02AC7">
        <w:rPr>
          <w:rFonts w:ascii="Times New Roman" w:hAnsi="Times New Roman" w:cs="Times New Roman"/>
          <w:i/>
          <w:iCs/>
          <w:color w:val="222222"/>
          <w:sz w:val="24"/>
          <w:szCs w:val="24"/>
          <w:shd w:val="clear" w:color="auto" w:fill="FFFFFF"/>
        </w:rPr>
        <w:t>Journal of Cleaner Production</w:t>
      </w:r>
      <w:r w:rsidRPr="00A02AC7">
        <w:rPr>
          <w:rFonts w:ascii="Times New Roman" w:hAnsi="Times New Roman" w:cs="Times New Roman"/>
          <w:color w:val="222222"/>
          <w:sz w:val="24"/>
          <w:szCs w:val="24"/>
          <w:shd w:val="clear" w:color="auto" w:fill="FFFFFF"/>
        </w:rPr>
        <w:t>, </w:t>
      </w:r>
      <w:r w:rsidRPr="00A02AC7">
        <w:rPr>
          <w:rFonts w:ascii="Times New Roman" w:hAnsi="Times New Roman" w:cs="Times New Roman"/>
          <w:i/>
          <w:iCs/>
          <w:color w:val="222222"/>
          <w:sz w:val="24"/>
          <w:szCs w:val="24"/>
          <w:shd w:val="clear" w:color="auto" w:fill="FFFFFF"/>
        </w:rPr>
        <w:t>106</w:t>
      </w:r>
      <w:r w:rsidRPr="00A02AC7">
        <w:rPr>
          <w:rFonts w:ascii="Times New Roman" w:hAnsi="Times New Roman" w:cs="Times New Roman"/>
          <w:color w:val="222222"/>
          <w:sz w:val="24"/>
          <w:szCs w:val="24"/>
          <w:shd w:val="clear" w:color="auto" w:fill="FFFFFF"/>
        </w:rPr>
        <w:t>, 11-21.</w:t>
      </w:r>
    </w:p>
    <w:p w14:paraId="5B1A955B" w14:textId="77777777" w:rsidR="00A02AC7" w:rsidRPr="00A02AC7" w:rsidRDefault="00A02AC7" w:rsidP="00A02AC7">
      <w:pPr>
        <w:spacing w:line="480" w:lineRule="auto"/>
        <w:ind w:left="720" w:hanging="720"/>
        <w:rPr>
          <w:rFonts w:ascii="Times New Roman" w:hAnsi="Times New Roman" w:cs="Times New Roman"/>
          <w:color w:val="222222"/>
          <w:sz w:val="24"/>
          <w:szCs w:val="24"/>
          <w:shd w:val="clear" w:color="auto" w:fill="FFFFFF"/>
        </w:rPr>
      </w:pPr>
      <w:r w:rsidRPr="00A02AC7">
        <w:rPr>
          <w:rFonts w:ascii="Times New Roman" w:hAnsi="Times New Roman" w:cs="Times New Roman"/>
          <w:color w:val="222222"/>
          <w:sz w:val="24"/>
          <w:szCs w:val="24"/>
          <w:shd w:val="clear" w:color="auto" w:fill="FFFFFF"/>
        </w:rPr>
        <w:t>Johnson, H. B. (2014). </w:t>
      </w:r>
      <w:r w:rsidRPr="00A02AC7">
        <w:rPr>
          <w:rFonts w:ascii="Times New Roman" w:hAnsi="Times New Roman" w:cs="Times New Roman"/>
          <w:i/>
          <w:iCs/>
          <w:color w:val="222222"/>
          <w:sz w:val="24"/>
          <w:szCs w:val="24"/>
          <w:shd w:val="clear" w:color="auto" w:fill="FFFFFF"/>
        </w:rPr>
        <w:t>The American dream and the power of wealth: Choosing schools and inheriting inequality in the land of opportunity</w:t>
      </w:r>
      <w:r w:rsidRPr="00A02AC7">
        <w:rPr>
          <w:rFonts w:ascii="Times New Roman" w:hAnsi="Times New Roman" w:cs="Times New Roman"/>
          <w:color w:val="222222"/>
          <w:sz w:val="24"/>
          <w:szCs w:val="24"/>
          <w:shd w:val="clear" w:color="auto" w:fill="FFFFFF"/>
        </w:rPr>
        <w:t>. Routledge.</w:t>
      </w:r>
    </w:p>
    <w:p w14:paraId="25E0AAB6" w14:textId="77777777" w:rsidR="00A02AC7" w:rsidRPr="00A02AC7" w:rsidRDefault="00A02AC7" w:rsidP="00A02AC7">
      <w:pPr>
        <w:spacing w:line="480" w:lineRule="auto"/>
        <w:ind w:left="720" w:hanging="720"/>
        <w:rPr>
          <w:rFonts w:ascii="Times New Roman" w:hAnsi="Times New Roman" w:cs="Times New Roman"/>
          <w:sz w:val="24"/>
          <w:szCs w:val="24"/>
        </w:rPr>
      </w:pPr>
      <w:r w:rsidRPr="00A02AC7">
        <w:rPr>
          <w:rFonts w:ascii="Times New Roman" w:hAnsi="Times New Roman" w:cs="Times New Roman"/>
          <w:color w:val="222222"/>
          <w:sz w:val="24"/>
          <w:szCs w:val="24"/>
          <w:shd w:val="clear" w:color="auto" w:fill="FFFFFF"/>
        </w:rPr>
        <w:t>Krueger, A. B. (2018). Inequality, too much of a good thing. In </w:t>
      </w:r>
      <w:r w:rsidRPr="00A02AC7">
        <w:rPr>
          <w:rFonts w:ascii="Times New Roman" w:hAnsi="Times New Roman" w:cs="Times New Roman"/>
          <w:i/>
          <w:iCs/>
          <w:color w:val="222222"/>
          <w:sz w:val="24"/>
          <w:szCs w:val="24"/>
          <w:shd w:val="clear" w:color="auto" w:fill="FFFFFF"/>
        </w:rPr>
        <w:t>The Inequality Reader</w:t>
      </w:r>
      <w:r w:rsidRPr="00A02AC7">
        <w:rPr>
          <w:rFonts w:ascii="Times New Roman" w:hAnsi="Times New Roman" w:cs="Times New Roman"/>
          <w:color w:val="222222"/>
          <w:sz w:val="24"/>
          <w:szCs w:val="24"/>
          <w:shd w:val="clear" w:color="auto" w:fill="FFFFFF"/>
        </w:rPr>
        <w:t> (pp. 25-33). Routledge.</w:t>
      </w:r>
    </w:p>
    <w:p w14:paraId="3701DC1D" w14:textId="77777777" w:rsidR="00A02AC7" w:rsidRPr="00A02AC7" w:rsidRDefault="00A02AC7" w:rsidP="00A02AC7">
      <w:pPr>
        <w:spacing w:line="480" w:lineRule="auto"/>
        <w:ind w:left="720" w:hanging="720"/>
        <w:rPr>
          <w:rFonts w:ascii="Times New Roman" w:hAnsi="Times New Roman" w:cs="Times New Roman"/>
          <w:color w:val="222222"/>
          <w:sz w:val="24"/>
          <w:szCs w:val="24"/>
          <w:shd w:val="clear" w:color="auto" w:fill="FFFFFF"/>
        </w:rPr>
      </w:pPr>
      <w:r w:rsidRPr="00A02AC7">
        <w:rPr>
          <w:rFonts w:ascii="Times New Roman" w:hAnsi="Times New Roman" w:cs="Times New Roman"/>
          <w:color w:val="222222"/>
          <w:sz w:val="24"/>
          <w:szCs w:val="24"/>
          <w:shd w:val="clear" w:color="auto" w:fill="FFFFFF"/>
        </w:rPr>
        <w:t>Peters, B. G. (2018). </w:t>
      </w:r>
      <w:r w:rsidRPr="00A02AC7">
        <w:rPr>
          <w:rFonts w:ascii="Times New Roman" w:hAnsi="Times New Roman" w:cs="Times New Roman"/>
          <w:i/>
          <w:iCs/>
          <w:color w:val="222222"/>
          <w:sz w:val="24"/>
          <w:szCs w:val="24"/>
          <w:shd w:val="clear" w:color="auto" w:fill="FFFFFF"/>
        </w:rPr>
        <w:t>American public policy: Promise and performance</w:t>
      </w:r>
      <w:r w:rsidRPr="00A02AC7">
        <w:rPr>
          <w:rFonts w:ascii="Times New Roman" w:hAnsi="Times New Roman" w:cs="Times New Roman"/>
          <w:color w:val="222222"/>
          <w:sz w:val="24"/>
          <w:szCs w:val="24"/>
          <w:shd w:val="clear" w:color="auto" w:fill="FFFFFF"/>
        </w:rPr>
        <w:t>. Cq Press.</w:t>
      </w:r>
    </w:p>
    <w:p w14:paraId="5D660FC3" w14:textId="77777777" w:rsidR="00A02AC7" w:rsidRPr="00A02AC7" w:rsidRDefault="00A02AC7" w:rsidP="00A02AC7">
      <w:pPr>
        <w:spacing w:line="480" w:lineRule="auto"/>
        <w:ind w:left="720" w:hanging="720"/>
        <w:rPr>
          <w:rFonts w:ascii="Times New Roman" w:hAnsi="Times New Roman" w:cs="Times New Roman"/>
          <w:color w:val="222222"/>
          <w:sz w:val="24"/>
          <w:szCs w:val="24"/>
          <w:shd w:val="clear" w:color="auto" w:fill="FFFFFF"/>
        </w:rPr>
      </w:pPr>
      <w:r w:rsidRPr="00A02AC7">
        <w:rPr>
          <w:rFonts w:ascii="Times New Roman" w:hAnsi="Times New Roman" w:cs="Times New Roman"/>
          <w:color w:val="222222"/>
          <w:sz w:val="24"/>
          <w:szCs w:val="24"/>
          <w:shd w:val="clear" w:color="auto" w:fill="FFFFFF"/>
        </w:rPr>
        <w:t>Vráblíková, K. (2014). How context matters? Mobilization, political opportunity structures, and nonelectoral political participation in old and new democracies. </w:t>
      </w:r>
      <w:r w:rsidRPr="00A02AC7">
        <w:rPr>
          <w:rFonts w:ascii="Times New Roman" w:hAnsi="Times New Roman" w:cs="Times New Roman"/>
          <w:i/>
          <w:iCs/>
          <w:color w:val="222222"/>
          <w:sz w:val="24"/>
          <w:szCs w:val="24"/>
          <w:shd w:val="clear" w:color="auto" w:fill="FFFFFF"/>
        </w:rPr>
        <w:t>Comparative Political Studies</w:t>
      </w:r>
      <w:r w:rsidRPr="00A02AC7">
        <w:rPr>
          <w:rFonts w:ascii="Times New Roman" w:hAnsi="Times New Roman" w:cs="Times New Roman"/>
          <w:color w:val="222222"/>
          <w:sz w:val="24"/>
          <w:szCs w:val="24"/>
          <w:shd w:val="clear" w:color="auto" w:fill="FFFFFF"/>
        </w:rPr>
        <w:t>, </w:t>
      </w:r>
      <w:r w:rsidRPr="00A02AC7">
        <w:rPr>
          <w:rFonts w:ascii="Times New Roman" w:hAnsi="Times New Roman" w:cs="Times New Roman"/>
          <w:i/>
          <w:iCs/>
          <w:color w:val="222222"/>
          <w:sz w:val="24"/>
          <w:szCs w:val="24"/>
          <w:shd w:val="clear" w:color="auto" w:fill="FFFFFF"/>
        </w:rPr>
        <w:t>47</w:t>
      </w:r>
      <w:r w:rsidRPr="00A02AC7">
        <w:rPr>
          <w:rFonts w:ascii="Times New Roman" w:hAnsi="Times New Roman" w:cs="Times New Roman"/>
          <w:color w:val="222222"/>
          <w:sz w:val="24"/>
          <w:szCs w:val="24"/>
          <w:shd w:val="clear" w:color="auto" w:fill="FFFFFF"/>
        </w:rPr>
        <w:t>(2), 203-229.</w:t>
      </w:r>
    </w:p>
    <w:sectPr w:rsidR="00A02AC7" w:rsidRPr="00A02AC7" w:rsidSect="00856BFB">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B9DC0" w14:textId="77777777" w:rsidR="002A46BA" w:rsidRDefault="002A46BA" w:rsidP="00A02AC7">
      <w:pPr>
        <w:spacing w:after="0" w:line="240" w:lineRule="auto"/>
      </w:pPr>
      <w:r>
        <w:separator/>
      </w:r>
    </w:p>
  </w:endnote>
  <w:endnote w:type="continuationSeparator" w:id="0">
    <w:p w14:paraId="1E368C10" w14:textId="77777777" w:rsidR="002A46BA" w:rsidRDefault="002A46BA" w:rsidP="00A02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8DD535" w14:textId="77777777" w:rsidR="002A46BA" w:rsidRDefault="002A46BA" w:rsidP="00A02AC7">
      <w:pPr>
        <w:spacing w:after="0" w:line="240" w:lineRule="auto"/>
      </w:pPr>
      <w:r>
        <w:separator/>
      </w:r>
    </w:p>
  </w:footnote>
  <w:footnote w:type="continuationSeparator" w:id="0">
    <w:p w14:paraId="6D218BA2" w14:textId="77777777" w:rsidR="002A46BA" w:rsidRDefault="002A46BA" w:rsidP="00A02A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2244506"/>
      <w:docPartObj>
        <w:docPartGallery w:val="Page Numbers (Top of Page)"/>
        <w:docPartUnique/>
      </w:docPartObj>
    </w:sdtPr>
    <w:sdtEndPr>
      <w:rPr>
        <w:noProof/>
      </w:rPr>
    </w:sdtEndPr>
    <w:sdtContent>
      <w:p w14:paraId="37B77C4B" w14:textId="79CDEF0E" w:rsidR="00856BFB" w:rsidRPr="00856BFB" w:rsidRDefault="00B655DA">
        <w:pPr>
          <w:pStyle w:val="Header"/>
          <w:jc w:val="right"/>
          <w:rPr>
            <w:rFonts w:ascii="Times New Roman" w:hAnsi="Times New Roman" w:cs="Times New Roman"/>
            <w:sz w:val="24"/>
            <w:szCs w:val="24"/>
          </w:rPr>
        </w:pPr>
        <w:r>
          <w:rPr>
            <w:rFonts w:ascii="Times New Roman" w:hAnsi="Times New Roman" w:cs="Times New Roman"/>
            <w:sz w:val="24"/>
            <w:szCs w:val="24"/>
          </w:rPr>
          <w:t xml:space="preserve">PUBLIC POLICY                                                                        </w:t>
        </w:r>
        <w:r w:rsidR="00856BFB">
          <w:rPr>
            <w:rFonts w:ascii="Times New Roman" w:hAnsi="Times New Roman" w:cs="Times New Roman"/>
            <w:sz w:val="24"/>
            <w:szCs w:val="24"/>
          </w:rPr>
          <w:t xml:space="preserve">                                                    </w:t>
        </w:r>
        <w:r w:rsidR="00856BFB" w:rsidRPr="00856BFB">
          <w:rPr>
            <w:rFonts w:ascii="Times New Roman" w:hAnsi="Times New Roman" w:cs="Times New Roman"/>
            <w:sz w:val="24"/>
            <w:szCs w:val="24"/>
          </w:rPr>
          <w:fldChar w:fldCharType="begin"/>
        </w:r>
        <w:r w:rsidR="00856BFB" w:rsidRPr="00856BFB">
          <w:rPr>
            <w:rFonts w:ascii="Times New Roman" w:hAnsi="Times New Roman" w:cs="Times New Roman"/>
            <w:sz w:val="24"/>
            <w:szCs w:val="24"/>
          </w:rPr>
          <w:instrText xml:space="preserve"> PAGE   \* MERGEFORMAT </w:instrText>
        </w:r>
        <w:r w:rsidR="00856BFB" w:rsidRPr="00856BFB">
          <w:rPr>
            <w:rFonts w:ascii="Times New Roman" w:hAnsi="Times New Roman" w:cs="Times New Roman"/>
            <w:sz w:val="24"/>
            <w:szCs w:val="24"/>
          </w:rPr>
          <w:fldChar w:fldCharType="separate"/>
        </w:r>
        <w:r w:rsidR="00FB35A0">
          <w:rPr>
            <w:rFonts w:ascii="Times New Roman" w:hAnsi="Times New Roman" w:cs="Times New Roman"/>
            <w:noProof/>
            <w:sz w:val="24"/>
            <w:szCs w:val="24"/>
          </w:rPr>
          <w:t>4</w:t>
        </w:r>
        <w:r w:rsidR="00856BFB" w:rsidRPr="00856BFB">
          <w:rPr>
            <w:rFonts w:ascii="Times New Roman" w:hAnsi="Times New Roman" w:cs="Times New Roman"/>
            <w:noProof/>
            <w:sz w:val="24"/>
            <w:szCs w:val="24"/>
          </w:rPr>
          <w:fldChar w:fldCharType="end"/>
        </w:r>
      </w:p>
    </w:sdtContent>
  </w:sdt>
  <w:p w14:paraId="486622BD" w14:textId="77777777" w:rsidR="00A02AC7" w:rsidRPr="00856BFB" w:rsidRDefault="00A02AC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0584813"/>
      <w:docPartObj>
        <w:docPartGallery w:val="Page Numbers (Top of Page)"/>
        <w:docPartUnique/>
      </w:docPartObj>
    </w:sdtPr>
    <w:sdtEndPr>
      <w:rPr>
        <w:noProof/>
      </w:rPr>
    </w:sdtEndPr>
    <w:sdtContent>
      <w:p w14:paraId="2E3462DA" w14:textId="376A6866" w:rsidR="00856BFB" w:rsidRPr="00856BFB" w:rsidRDefault="00856BFB">
        <w:pPr>
          <w:pStyle w:val="Header"/>
          <w:jc w:val="right"/>
          <w:rPr>
            <w:rFonts w:ascii="Times New Roman" w:hAnsi="Times New Roman" w:cs="Times New Roman"/>
            <w:sz w:val="24"/>
            <w:szCs w:val="24"/>
          </w:rPr>
        </w:pPr>
        <w:r w:rsidRPr="00856BFB">
          <w:rPr>
            <w:rFonts w:ascii="Times New Roman" w:hAnsi="Times New Roman" w:cs="Times New Roman"/>
            <w:sz w:val="24"/>
            <w:szCs w:val="24"/>
          </w:rPr>
          <w:t xml:space="preserve">Running head: </w:t>
        </w:r>
        <w:r w:rsidR="00B655DA">
          <w:rPr>
            <w:rFonts w:ascii="Times New Roman" w:hAnsi="Times New Roman" w:cs="Times New Roman"/>
            <w:sz w:val="24"/>
            <w:szCs w:val="24"/>
          </w:rPr>
          <w:t xml:space="preserve">PUBLIC POLICY                                                                        </w:t>
        </w:r>
        <w:r>
          <w:rPr>
            <w:rFonts w:ascii="Times New Roman" w:hAnsi="Times New Roman" w:cs="Times New Roman"/>
            <w:sz w:val="24"/>
            <w:szCs w:val="24"/>
          </w:rPr>
          <w:t xml:space="preserve">                           </w:t>
        </w:r>
        <w:r w:rsidRPr="00856BFB">
          <w:rPr>
            <w:rFonts w:ascii="Times New Roman" w:hAnsi="Times New Roman" w:cs="Times New Roman"/>
            <w:sz w:val="24"/>
            <w:szCs w:val="24"/>
          </w:rPr>
          <w:fldChar w:fldCharType="begin"/>
        </w:r>
        <w:r w:rsidRPr="00856BFB">
          <w:rPr>
            <w:rFonts w:ascii="Times New Roman" w:hAnsi="Times New Roman" w:cs="Times New Roman"/>
            <w:sz w:val="24"/>
            <w:szCs w:val="24"/>
          </w:rPr>
          <w:instrText xml:space="preserve"> PAGE   \* MERGEFORMAT </w:instrText>
        </w:r>
        <w:r w:rsidRPr="00856BFB">
          <w:rPr>
            <w:rFonts w:ascii="Times New Roman" w:hAnsi="Times New Roman" w:cs="Times New Roman"/>
            <w:sz w:val="24"/>
            <w:szCs w:val="24"/>
          </w:rPr>
          <w:fldChar w:fldCharType="separate"/>
        </w:r>
        <w:r w:rsidR="00FB35A0">
          <w:rPr>
            <w:rFonts w:ascii="Times New Roman" w:hAnsi="Times New Roman" w:cs="Times New Roman"/>
            <w:noProof/>
            <w:sz w:val="24"/>
            <w:szCs w:val="24"/>
          </w:rPr>
          <w:t>1</w:t>
        </w:r>
        <w:r w:rsidRPr="00856BFB">
          <w:rPr>
            <w:rFonts w:ascii="Times New Roman" w:hAnsi="Times New Roman" w:cs="Times New Roman"/>
            <w:noProof/>
            <w:sz w:val="24"/>
            <w:szCs w:val="24"/>
          </w:rPr>
          <w:fldChar w:fldCharType="end"/>
        </w:r>
      </w:p>
    </w:sdtContent>
  </w:sdt>
  <w:p w14:paraId="0F82F7B4" w14:textId="77777777" w:rsidR="00A02AC7" w:rsidRPr="00856BFB" w:rsidRDefault="00A02AC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E8E"/>
    <w:rsid w:val="000D106C"/>
    <w:rsid w:val="002A46BA"/>
    <w:rsid w:val="00354A1A"/>
    <w:rsid w:val="0040089E"/>
    <w:rsid w:val="005850A9"/>
    <w:rsid w:val="005B3A02"/>
    <w:rsid w:val="007502BF"/>
    <w:rsid w:val="00774138"/>
    <w:rsid w:val="00856BFB"/>
    <w:rsid w:val="008E3E8E"/>
    <w:rsid w:val="009D6127"/>
    <w:rsid w:val="009E6882"/>
    <w:rsid w:val="00A02AC7"/>
    <w:rsid w:val="00B655DA"/>
    <w:rsid w:val="00CE0A78"/>
    <w:rsid w:val="00CF4189"/>
    <w:rsid w:val="00DA3677"/>
    <w:rsid w:val="00EA25E4"/>
    <w:rsid w:val="00EE45A7"/>
    <w:rsid w:val="00FB3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EE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AC7"/>
  </w:style>
  <w:style w:type="paragraph" w:styleId="Footer">
    <w:name w:val="footer"/>
    <w:basedOn w:val="Normal"/>
    <w:link w:val="FooterChar"/>
    <w:uiPriority w:val="99"/>
    <w:unhideWhenUsed/>
    <w:rsid w:val="00A02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A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AC7"/>
  </w:style>
  <w:style w:type="paragraph" w:styleId="Footer">
    <w:name w:val="footer"/>
    <w:basedOn w:val="Normal"/>
    <w:link w:val="FooterChar"/>
    <w:uiPriority w:val="99"/>
    <w:unhideWhenUsed/>
    <w:rsid w:val="00A02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183085">
      <w:bodyDiv w:val="1"/>
      <w:marLeft w:val="0"/>
      <w:marRight w:val="0"/>
      <w:marTop w:val="0"/>
      <w:marBottom w:val="0"/>
      <w:divBdr>
        <w:top w:val="none" w:sz="0" w:space="0" w:color="auto"/>
        <w:left w:val="none" w:sz="0" w:space="0" w:color="auto"/>
        <w:bottom w:val="none" w:sz="0" w:space="0" w:color="auto"/>
        <w:right w:val="none" w:sz="0" w:space="0" w:color="auto"/>
      </w:divBdr>
      <w:divsChild>
        <w:div w:id="1430665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2019-02-10T12:57:00Z</dcterms:created>
  <dcterms:modified xsi:type="dcterms:W3CDTF">2019-02-10T16:11:00Z</dcterms:modified>
</cp:coreProperties>
</file>